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295 vom 22. Juli 1991</w:t>
      </w:r>
    </w:p>
    <w:p>
      <w:r>
        <w:t>Bundesgericht (BGE), 1991-07-22, DE</w:t>
      </w:r>
    </w:p>
    <w:p>
      <w:r>
        <w:rPr>
          <w:b/>
        </w:rPr>
        <w:t xml:space="preserve">Quelle: </w:t>
      </w:r>
      <w:r>
        <w:t>https://mcp.opencaselaw.ch/entscheid/bge_117 IA 295</w:t>
      </w:r>
    </w:p>
    <w:p>
      <w:r>
        <w:t>FR: BGE 117 IA 295 du 22 juillet 1991</w:t>
      </w:r>
    </w:p>
    <w:p>
      <w:r>
        <w:t>IT: BGE 117 IA 295 del 22 luglio 1991</w:t>
      </w:r>
    </w:p>
    <w:p>
      <w:pPr>
        <w:pStyle w:val="Heading2"/>
      </w:pPr>
      <w:r>
        <w:t>Regeste</w:t>
      </w:r>
    </w:p>
    <w:p>
      <w:r>
        <w:t>Regeste Art. 4 BV; Parteientschädigung im Zivilprozess. Es ist willkürlich, einer Partei eine Parteientschädigung allein deswegen zu verweigern, weil sie für Rechtsschutz versichert ist (E. 3).</w:t>
      </w:r>
    </w:p>
    <w:p>
      <w:pPr>
        <w:pStyle w:val="Heading2"/>
      </w:pPr>
      <w:r>
        <w:t>Erwägungen</w:t>
      </w:r>
    </w:p>
    <w:p>
      <w:r>
        <w:rPr>
          <w:b/>
        </w:rPr>
        <w:t>E. 3</w:t>
      </w:r>
    </w:p>
    <w:p>
      <w:r>
        <w:t>Gemäss § 211 ZPO /BL kann "der unterliegenden Partei in dem Masse, als sie im Unrecht erfunden wird, im Urteil die Bezahlung einer in fester Summe anzugebenden Entschädigung an die Gegenpartei auferlegt werden (ausserordentliche Prozesskosten)". Für die Verweigerung einer Prozessentschädigung an eine Partei allein deswegen, weil sie für Rechtsschutz versichert ist, bietet das Gesetz keinen Anhaltspunkt. Eine solche Annahme lässt sich entgegen der Auffassung des Obergerichts auch nicht aus Art. 1 der Verordnung über die Rechtsschutzversicherung (SR 961.22) ableiten, ist dort doch einzig umschrieben, welche Versicherungen der Bewilligungspflicht nach diesem Erlass unterstehen; über Voraussetzungen und Ausmass der Versicherungsleistungen ist weder generell noch für den Einzelfall etwas gesagt. Es versteht sich jedoch von selbst, dass jeder Versicherte nur sein eigenes Kostenrisiko und nicht auch dasjenige seiner Gegenpartei durch die Versicherung abdecken lässt, dass er ihr gegenüber folglich nur Anspruch auf Ersatz derjenigen Gerichts- und Parteikosten hat, die nach Massgabe des Kostenentscheides auf ihn entfallen. Es verhält sich damit nicht anders, als wenn einer Partei das Kostenrisiko durch eine Haftpflichtversicherung, eine Gewerkschaft, eine andere Vereinigung oder eine Drittperson abgenommen wird. Einem Prinzip des Zivilprozessrechts entspricht es, dass grundsätzlich jede Partei die andere nach Massgabe ihres Unterliegens zu entschädigen hat. Der Umstand, dass der obsiegenden Partei ein unentgeltlicher Rechtsbeistand bewilligt worden ist, befreit die unterliegende dabei nicht von der Leistung einer Prozessentschädigung. Entsprechendes hat für den Fall zu gelten, in dem die obsiegende Partei eine Rechtsschutzversicherung abgeschlossen und dafür Prämien bezahlt hat. Mit der vom Obergericht gegebenen Begründung lässt sich der angefochtene Entscheid nicht halten. Da auch keine weiteren Erwägungen vorliegen, die ihn wenigstens im Ergebnis zu stützen vermöchten, erweist er sich als willkürlich im Sinne der Rechtsprechung des Bundesgerichts und ist als verfassungswidrig aufzuheben. Ob und in welcher Höhe dem Beklagten nach Massgabe des BGE 117 Ia 295 S. 297 Prozessausganges eine Entschädigung zuzusprechen und ob allenfalls zwischen dem Anspruch für das erstinstanzliche und demjenigen für das zweitinstanzliche Verfahren zu unterscheiden sei, wird das Obergericht unter Preisgabe der als willkürlich erkannten Erwägung neu zu entscheiden haben. Bei der Bemessung der Entschädigung wird gegebenenfalls auch dem Umstand Rechnung getragen werden können, dass der Vertreter der Beklagten als Anwalt im Anstellungsverhältnis zu ihr tätig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